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r w:rsidRPr="00593A0A">
        <w:rPr>
          <w:rFonts w:ascii="cmr17" w:hAnsi="cmr17"/>
          <w:lang w:val="en-US"/>
        </w:rPr>
        <w:t>Yoav Ram</w:t>
      </w:r>
      <w:r w:rsidR="00C81983">
        <w:rPr>
          <w:rFonts w:ascii="cmr17" w:hAnsi="cmr17"/>
          <w:lang w:val="en-US"/>
        </w:rPr>
        <w:t xml:space="preserve"> </w:t>
      </w:r>
    </w:p>
    <w:p w:rsidR="003277CF" w:rsidRDefault="00593A0A" w:rsidP="003277CF">
      <w:pPr>
        <w:pStyle w:val="Subtitle"/>
        <w:rPr>
          <w:rFonts w:ascii="cmr17" w:hAnsi="cmr17"/>
          <w:lang w:val="en-US"/>
        </w:rPr>
      </w:pPr>
      <w:r w:rsidRPr="00593A0A">
        <w:rPr>
          <w:rFonts w:ascii="cmr17" w:hAnsi="cmr17"/>
          <w:lang w:val="en-US"/>
        </w:rPr>
        <w:t xml:space="preserve">and </w:t>
      </w:r>
    </w:p>
    <w:p w:rsidR="00C81983" w:rsidRDefault="00593A0A" w:rsidP="003277CF">
      <w:pPr>
        <w:pStyle w:val="Subtitle"/>
        <w:rPr>
          <w:rFonts w:ascii="cmr17" w:hAnsi="cmr17"/>
          <w:lang w:val="en-US"/>
        </w:rPr>
      </w:pPr>
      <w:r w:rsidRPr="00593A0A">
        <w:rPr>
          <w:rFonts w:ascii="cmr17" w:hAnsi="cmr17"/>
          <w:lang w:val="en-US"/>
        </w:rPr>
        <w:t>Lilach Hadany</w:t>
      </w:r>
    </w:p>
    <w:p w:rsidR="003277CF" w:rsidRDefault="003277CF" w:rsidP="00C81983">
      <w:pPr>
        <w:pStyle w:val="Subtitle"/>
        <w:rPr>
          <w:rFonts w:ascii="cmr17" w:hAnsi="cmr17"/>
          <w:lang w:val="en-US"/>
        </w:rPr>
      </w:pPr>
      <w:r>
        <w:rPr>
          <w:rFonts w:ascii="cmr17" w:hAnsi="cmr17"/>
          <w:lang w:val="en-US"/>
        </w:rPr>
        <w:t xml:space="preserve">corresponding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r>
        <w:rPr>
          <w:lang w:val="en-US"/>
        </w:rPr>
        <w:t xml:space="preserve">population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2C3A88">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2C3A88">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2C3A88">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lastRenderedPageBreak/>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2C3A88">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2C3A88">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2C3A88">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r>
        <w:rPr>
          <w:i/>
          <w:iCs/>
          <w:lang w:val="en-US"/>
        </w:rPr>
        <w:t>ab</w:t>
      </w:r>
      <w:r>
        <w:rPr>
          <w:lang w:val="en-US"/>
        </w:rPr>
        <w:t xml:space="preserve"> is the </w:t>
      </w:r>
      <w:r w:rsidR="00175BA1">
        <w:rPr>
          <w:lang w:val="en-US"/>
        </w:rPr>
        <w:t xml:space="preserve">wildtype </w:t>
      </w:r>
      <w:r>
        <w:rPr>
          <w:lang w:val="en-US"/>
        </w:rPr>
        <w:t xml:space="preserve">with a fitness value of </w:t>
      </w:r>
      <w:r w:rsidRPr="00175BA1">
        <w:rPr>
          <w:i/>
          <w:iCs/>
          <w:lang w:val="en-US"/>
        </w:rPr>
        <w:t>1</w:t>
      </w:r>
      <w:r>
        <w:rPr>
          <w:lang w:val="en-US"/>
        </w:rPr>
        <w:t>, single mutants (</w:t>
      </w:r>
      <w:r>
        <w:rPr>
          <w:i/>
          <w:iCs/>
          <w:lang w:val="en-US"/>
        </w:rPr>
        <w:t>Ab</w:t>
      </w:r>
      <w:r>
        <w:rPr>
          <w:lang w:val="en-US"/>
        </w:rPr>
        <w:t xml:space="preserve"> and </w:t>
      </w:r>
      <w:r>
        <w:rPr>
          <w:i/>
          <w:iCs/>
          <w:lang w:val="en-US"/>
        </w:rPr>
        <w:t>aB</w:t>
      </w:r>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r>
        <w:rPr>
          <w:i/>
          <w:iCs/>
          <w:vertAlign w:val="superscript"/>
          <w:lang w:val="en-US"/>
        </w:rPr>
        <w:t>2</w:t>
      </w:r>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r>
        <w:rPr>
          <w:i/>
          <w:iCs/>
          <w:vertAlign w:val="superscript"/>
          <w:lang w:val="en-US"/>
        </w:rPr>
        <w:t>m</w:t>
      </w:r>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62461C">
      <w:pPr>
        <w:rPr>
          <w:lang w:val="en-US"/>
        </w:rPr>
      </w:pPr>
      <w:r>
        <w:rPr>
          <w:lang w:val="en-US"/>
        </w:rPr>
        <w:t xml:space="preserve">Mutation from </w:t>
      </w:r>
      <w:r>
        <w:rPr>
          <w:i/>
          <w:iCs/>
          <w:lang w:val="en-US"/>
        </w:rPr>
        <w:t>a</w:t>
      </w:r>
      <w:r>
        <w:rPr>
          <w:lang w:val="en-US"/>
        </w:rPr>
        <w:t xml:space="preserve"> to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r w:rsidR="0062461C">
        <w:rPr>
          <w:lang w:val="en-US"/>
        </w:rPr>
        <w:t>Likely, there</w:t>
      </w:r>
      <w:r w:rsidR="00FD5294">
        <w:rPr>
          <w:lang w:val="en-US"/>
        </w:rPr>
        <w:t xml:space="preserv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62461C">
        <w:rPr>
          <w:rFonts w:ascii="Times New Roman" w:hAnsi="Times New Roman"/>
          <w:lang w:val="en-US"/>
        </w:rPr>
        <w:t xml:space="preserve">but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62461C">
        <w:rPr>
          <w:lang w:val="en-US"/>
        </w:rPr>
        <w:t xml:space="preserve">: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a fitness </w:t>
      </w:r>
      <w:r w:rsidR="0062461C">
        <w:rPr>
          <w:lang w:val="en-US"/>
        </w:rPr>
        <w:t>lower than</w:t>
      </w:r>
      <w:r w:rsidR="00757A15">
        <w:rPr>
          <w:lang w:val="en-US"/>
        </w:rPr>
        <w:t xml:space="preserve"> 1 hypermutate</w:t>
      </w:r>
      <w:r w:rsidR="00200EDA">
        <w:rPr>
          <w:lang w:val="en-US"/>
        </w:rPr>
        <w:t xml:space="preserve">, </w:t>
      </w:r>
      <w:r w:rsidR="0062461C">
        <w:rPr>
          <w:lang w:val="en-US"/>
        </w:rPr>
        <w:t xml:space="preserve">thereby </w:t>
      </w:r>
      <w:r w:rsidR="00200EDA">
        <w:rPr>
          <w:lang w:val="en-US"/>
        </w:rPr>
        <w:t xml:space="preserve">increasing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r w:rsidR="00137A92">
        <w:rPr>
          <w:lang w:val="en-US"/>
        </w:rPr>
        <w:t xml:space="preserve">To incorporate the effects of random genetic drift into the model, we denote the population size by </w:t>
      </w:r>
      <w:r w:rsidR="00137A92">
        <w:rPr>
          <w:i/>
          <w:iCs/>
          <w:lang w:val="en-US"/>
        </w:rPr>
        <w:t>N</w:t>
      </w:r>
      <w:r w:rsidR="00137A92">
        <w:rPr>
          <w:lang w:val="en-US"/>
        </w:rPr>
        <w:t xml:space="preserve">. </w:t>
      </w:r>
      <w:r w:rsidR="00757A15">
        <w:rPr>
          <w:lang w:val="en-US"/>
        </w:rPr>
        <w:t xml:space="preserve"> </w:t>
      </w:r>
    </w:p>
    <w:p w:rsidR="00291184" w:rsidRDefault="00291184" w:rsidP="00137A92">
      <w:pPr>
        <w:rPr>
          <w:lang w:val="en-US"/>
        </w:rPr>
      </w:pPr>
      <w:r>
        <w:rPr>
          <w:lang w:val="en-US"/>
        </w:rPr>
        <w:t>At the MSB, the frequency of wildtype (</w:t>
      </w:r>
      <w:r>
        <w:rPr>
          <w:i/>
          <w:iCs/>
          <w:lang w:val="en-US"/>
        </w:rPr>
        <w:t>ab</w:t>
      </w:r>
      <w:r>
        <w:rPr>
          <w:lang w:val="en-US"/>
        </w:rPr>
        <w:t>) individuals</w:t>
      </w:r>
      <w:r w:rsidR="00757A15">
        <w:rPr>
          <w:lang w:val="en-US"/>
        </w:rPr>
        <w:t xml:space="preserve"> is </w:t>
      </w:r>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r>
        <w:rPr>
          <w:i/>
          <w:iCs/>
          <w:lang w:val="en-US"/>
        </w:rPr>
        <w:t>Ab</w:t>
      </w:r>
      <w:r>
        <w:rPr>
          <w:lang w:val="en-US"/>
        </w:rPr>
        <w:t xml:space="preserve"> and </w:t>
      </w:r>
      <w:r>
        <w:rPr>
          <w:i/>
          <w:iCs/>
          <w:lang w:val="en-US"/>
        </w:rPr>
        <w:t>aB</w:t>
      </w:r>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AC5B39" w:rsidRDefault="00AC5B39" w:rsidP="0062461C">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r w:rsidR="006D6095" w:rsidRPr="006D6095">
        <w:rPr>
          <w:i/>
          <w:iCs/>
          <w:vertAlign w:val="superscript"/>
        </w:rPr>
        <w:t>2</w:t>
      </w:r>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w:t>
      </w:r>
      <w:r>
        <w:lastRenderedPageBreak/>
        <w:t xml:space="preserve">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3AC3E6D5" wp14:editId="087B5C5D">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represent a specific genotype. Node labels specify the </w:t>
      </w:r>
      <w:r>
        <w:rPr>
          <w:b w:val="0"/>
          <w:bCs w:val="0"/>
        </w:rPr>
        <w:t xml:space="preserve">alleles at the </w:t>
      </w:r>
      <w:r>
        <w:rPr>
          <w:b w:val="0"/>
          <w:bCs w:val="0"/>
          <w:i/>
          <w:iCs/>
        </w:rPr>
        <w:t>A/</w:t>
      </w:r>
      <w:r w:rsidRPr="00317C1F">
        <w:rPr>
          <w:b w:val="0"/>
          <w:bCs w:val="0"/>
        </w:rPr>
        <w:t>a</w:t>
      </w:r>
      <w:r>
        <w:rPr>
          <w:b w:val="0"/>
          <w:bCs w:val="0"/>
        </w:rPr>
        <w:t xml:space="preserve"> and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see the colo</w:t>
      </w:r>
      <w:r w:rsidR="00137A92">
        <w:rPr>
          <w:b w:val="0"/>
          <w:bCs w:val="0"/>
        </w:rPr>
        <w:t>u</w:t>
      </w:r>
      <w:r w:rsidR="00B619E9">
        <w:rPr>
          <w:b w:val="0"/>
          <w:bCs w:val="0"/>
        </w:rPr>
        <w:t>rbar.</w:t>
      </w:r>
      <w:r w:rsidR="00137A92">
        <w:rPr>
          <w:b w:val="0"/>
          <w:bCs w:val="0"/>
        </w:rPr>
        <w:t xml:space="preserve"> </w:t>
      </w:r>
      <w:r w:rsidR="00137A92">
        <w:rPr>
          <w:b w:val="0"/>
          <w:bCs w:val="0"/>
        </w:rPr>
        <w:t xml:space="preserve">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r w:rsidR="00A80402">
        <w:t>(</w:t>
      </w:r>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r w:rsidRPr="00FD5294">
        <w:rPr>
          <w:i/>
          <w:iCs/>
          <w:lang w:val="en-US"/>
        </w:rPr>
        <w:t>N</w:t>
      </w:r>
      <w:r>
        <w:rPr>
          <w:lang w:val="en-US"/>
        </w:rPr>
        <w:t>(</w:t>
      </w:r>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mutatns must be generated by </w:t>
      </w:r>
      <w:r w:rsidR="00137A92">
        <w:rPr>
          <w:lang w:val="en-US"/>
        </w:rPr>
        <w:t>a double mutation</w:t>
      </w:r>
      <w:r w:rsidR="003C4D79">
        <w:rPr>
          <w:lang w:val="en-US"/>
        </w:rPr>
        <w:t xml:space="preserve"> in a wild</w:t>
      </w:r>
      <w:r w:rsidR="00AC64E4">
        <w:rPr>
          <w:lang w:val="en-US"/>
        </w:rPr>
        <w:t>type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B13C26" w:rsidRDefault="001A482B" w:rsidP="0056552C">
      <w:pPr>
        <w:ind w:firstLine="0"/>
        <w:rPr>
          <w:lang w:val="en-US"/>
        </w:rPr>
      </w:pPr>
      <w:r w:rsidRPr="001A482B">
        <w:rPr>
          <w:lang w:val="en-US"/>
        </w:rPr>
        <w:lastRenderedPageBreak/>
        <w:t>For</w:t>
      </w:r>
      <w:r w:rsidR="00324A58">
        <w:rPr>
          <w:lang w:val="en-US"/>
        </w:rPr>
        <w:t xml:space="preserve"> the bacteria species</w:t>
      </w:r>
      <w:r w:rsidRPr="001A482B">
        <w:rPr>
          <w:lang w:val="en-US"/>
        </w:rPr>
        <w:t xml:space="preserve"> </w:t>
      </w:r>
      <w:r w:rsidRPr="001A482B">
        <w:rPr>
          <w:i/>
          <w:iCs/>
          <w:lang w:val="en-US"/>
        </w:rPr>
        <w:t>Escherischia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2C3A88">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2C3A88">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w:t>
      </w:r>
      <w:r w:rsidR="0056552C">
        <w:rPr>
          <w:lang w:val="en-US"/>
        </w:rPr>
        <w:t xml:space="preserve">a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bookmarkStart w:id="6" w:name="_GoBack"/>
      <w:bookmarkEnd w:id="6"/>
    </w:p>
    <w:p w:rsidR="00374508" w:rsidRDefault="00E72C13" w:rsidP="0024764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model </w:t>
      </w:r>
      <w:r>
        <w:rPr>
          <w:lang w:val="en-US"/>
        </w:rPr>
        <w:t xml:space="preserve">with mutation, selection and random </w:t>
      </w:r>
      <w:r w:rsidR="0045619C">
        <w:rPr>
          <w:lang w:val="en-US"/>
        </w:rPr>
        <w:t xml:space="preserve"> genetic </w:t>
      </w:r>
      <w:r>
        <w:rPr>
          <w:lang w:val="en-US"/>
        </w:rPr>
        <w:t>drift.</w:t>
      </w:r>
      <w:r w:rsidR="002E1D1A">
        <w:rPr>
          <w:lang w:val="en-US"/>
        </w:rPr>
        <w:t xml:space="preserve"> The main differences between the analytical model and the stochastic simulations are</w:t>
      </w:r>
      <w:r w:rsidR="0045619C">
        <w:rPr>
          <w:lang w:val="en-US"/>
        </w:rPr>
        <w:t xml:space="preserve">: </w:t>
      </w:r>
      <w:r w:rsidR="002E1D1A">
        <w:rPr>
          <w:lang w:val="en-US"/>
        </w:rPr>
        <w:t xml:space="preserve">(i) </w:t>
      </w:r>
      <w:r w:rsidR="00374508">
        <w:rPr>
          <w:lang w:val="en-US"/>
        </w:rPr>
        <w:t xml:space="preserve">The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r w:rsidR="00247649" w:rsidRPr="00247649">
        <w:rPr>
          <w:i/>
          <w:iCs/>
          <w:lang w:val="en-US"/>
        </w:rPr>
        <w:t>ab</w:t>
      </w:r>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r w:rsidR="0045619C">
        <w:rPr>
          <w:lang w:val="en-US"/>
        </w:rPr>
        <w:t>(v)</w:t>
      </w:r>
      <w:r w:rsidR="00374508">
        <w:rPr>
          <w:lang w:val="en-US"/>
        </w:rPr>
        <w:t xml:space="preserve"> </w:t>
      </w:r>
      <w:r w:rsidR="00247649">
        <w:rPr>
          <w:lang w:val="en-US"/>
        </w:rPr>
        <w:t>W</w:t>
      </w:r>
      <w:r w:rsidR="0045619C">
        <w:rPr>
          <w:lang w:val="en-US"/>
        </w:rPr>
        <w:t xml:space="preserve">e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3277CF" w:rsidRDefault="003277CF" w:rsidP="00247649">
      <w:pPr>
        <w:pStyle w:val="Firstparagraph"/>
        <w:rPr>
          <w:lang w:val="en-US"/>
        </w:rPr>
      </w:pPr>
      <w:r>
        <w:rPr>
          <w:lang w:val="en-US"/>
        </w:rPr>
        <w:t xml:space="preserve">We </w:t>
      </w:r>
      <w:r w:rsidR="00505274">
        <w:rPr>
          <w:lang w:val="en-US"/>
        </w:rPr>
        <w:t xml:space="preserve">wrote the simulations </w:t>
      </w:r>
      <w:r w:rsidR="00247649">
        <w:rPr>
          <w:lang w:val="en-US"/>
        </w:rPr>
        <w:t>with</w:t>
      </w:r>
      <w:r>
        <w:rPr>
          <w:lang w:val="en-US"/>
        </w:rPr>
        <w:t xml:space="preserve"> Python (</w:t>
      </w:r>
      <w:hyperlink r:id="rId11" w:history="1">
        <w:r w:rsidRPr="00A41C79">
          <w:rPr>
            <w:rStyle w:val="Hyperlink"/>
            <w:lang w:val="en-US"/>
          </w:rPr>
          <w:t>http://www.python.org</w:t>
        </w:r>
      </w:hyperlink>
      <w:r w:rsidR="00505274">
        <w:rPr>
          <w:lang w:val="en-US"/>
        </w:rPr>
        <w:t>) using</w:t>
      </w:r>
      <w:r>
        <w:rPr>
          <w:lang w:val="en-US"/>
        </w:rPr>
        <w:t xml:space="preserve"> NumPy (</w:t>
      </w:r>
      <w:hyperlink r:id="rId12" w:history="1">
        <w:r w:rsidRPr="00A41C79">
          <w:rPr>
            <w:rStyle w:val="Hyperlink"/>
            <w:lang w:val="en-US"/>
          </w:rPr>
          <w:t>http://www.numpy.org</w:t>
        </w:r>
      </w:hyperlink>
      <w:r>
        <w:rPr>
          <w:lang w:val="en-US"/>
        </w:rPr>
        <w:t>) and SciPy (</w:t>
      </w:r>
      <w:hyperlink r:id="rId13" w:history="1">
        <w:r w:rsidRPr="00A41C79">
          <w:rPr>
            <w:rStyle w:val="Hyperlink"/>
            <w:lang w:val="en-US"/>
          </w:rPr>
          <w:t>http://www.scipy.org</w:t>
        </w:r>
      </w:hyperlink>
      <w:r>
        <w:rPr>
          <w:lang w:val="en-US"/>
        </w:rPr>
        <w:t>). The source code for the simulation</w:t>
      </w:r>
      <w:r w:rsidR="00247649">
        <w:rPr>
          <w:lang w:val="en-US"/>
        </w:rPr>
        <w:t>s</w:t>
      </w:r>
      <w:r>
        <w:rPr>
          <w:lang w:val="en-US"/>
        </w:rPr>
        <w:t xml:space="preserve"> is available on GitHub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A730F" w:rsidRDefault="00FA730F" w:rsidP="00FA730F">
      <w:pPr>
        <w:pStyle w:val="Firstparagraph"/>
        <w:rPr>
          <w:lang w:val="en-US"/>
        </w:rPr>
      </w:pPr>
      <w:r>
        <w:rPr>
          <w:lang w:val="en-US"/>
        </w:rPr>
        <w:t>Because there are no double mutants (</w:t>
      </w:r>
      <w:r>
        <w:rPr>
          <w:i/>
          <w:iCs/>
          <w:lang w:val="en-US"/>
        </w:rPr>
        <w:t>AB</w:t>
      </w:r>
      <w:r>
        <w:rPr>
          <w:lang w:val="en-US"/>
        </w:rPr>
        <w:t>) at the time of the environmental change, double mutants can appear either via a double mutation in a wildtype individual (</w:t>
      </w:r>
      <w:r>
        <w:rPr>
          <w:i/>
          <w:iCs/>
          <w:lang w:val="en-US"/>
        </w:rPr>
        <w:t>ab</w:t>
      </w:r>
      <w:r>
        <w:rPr>
          <w:lang w:val="en-US"/>
        </w:rPr>
        <w:t>) or via a single mutation in a single mutant (</w:t>
      </w:r>
      <w:r>
        <w:rPr>
          <w:i/>
          <w:iCs/>
          <w:lang w:val="en-US"/>
        </w:rPr>
        <w:t>Ab</w:t>
      </w:r>
      <w:r>
        <w:rPr>
          <w:lang w:val="en-US"/>
        </w:rPr>
        <w:t xml:space="preserve"> or </w:t>
      </w:r>
      <w:r>
        <w:rPr>
          <w:i/>
          <w:iCs/>
          <w:lang w:val="en-US"/>
        </w:rPr>
        <w:t>aB</w:t>
      </w:r>
      <w:r>
        <w:rPr>
          <w:lang w:val="en-US"/>
        </w:rPr>
        <w:t xml:space="preserve">). At the MSB the number of deleterious mutations follows a Poisson distribution </w:t>
      </w:r>
      <w:r>
        <w:rPr>
          <w:lang w:val="en-US"/>
        </w:rPr>
        <w:fldChar w:fldCharType="begin" w:fldLock="1"/>
      </w:r>
      <w:r>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Pr>
          <w:lang w:val="en-US"/>
        </w:rPr>
        <w:fldChar w:fldCharType="separate"/>
      </w:r>
      <w:r w:rsidRPr="00013523">
        <w:rPr>
          <w:noProof/>
          <w:lang w:val="en-US"/>
        </w:rPr>
        <w:t>(21,22)</w:t>
      </w:r>
      <w:r>
        <w:rPr>
          <w:lang w:val="en-US"/>
        </w:rPr>
        <w:fldChar w:fldCharType="end"/>
      </w:r>
      <w:r>
        <w:rPr>
          <w:lang w:val="en-US"/>
        </w:rPr>
        <w:t xml:space="preserve">. Therefore, the frequencies of mutation-free wildtype </w:t>
      </w:r>
      <w:r>
        <w:rPr>
          <w:i/>
          <w:iCs/>
          <w:lang w:val="en-US"/>
        </w:rPr>
        <w:t>ab</w:t>
      </w:r>
      <w:r>
        <w:rPr>
          <w:lang w:val="en-US"/>
        </w:rPr>
        <w:t xml:space="preserve"> and single mutants </w:t>
      </w:r>
      <w:r w:rsidRPr="005F3FF6">
        <w:rPr>
          <w:lang w:val="en-US"/>
        </w:rPr>
        <w:t>aB</w:t>
      </w:r>
      <w:r>
        <w:rPr>
          <w:lang w:val="en-US"/>
        </w:rPr>
        <w:t xml:space="preserve"> and </w:t>
      </w:r>
      <w:r w:rsidRPr="005F3FF6">
        <w:rPr>
          <w:i/>
          <w:iCs/>
          <w:lang w:val="en-US"/>
        </w:rPr>
        <w:t>Ab</w:t>
      </w:r>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and  </w:t>
      </w:r>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fitness of wildtype and single mutants is </w:t>
      </w:r>
      <w:r w:rsidRPr="00CD0AFE">
        <w:rPr>
          <w:i/>
          <w:iCs/>
          <w:lang w:val="en-US"/>
        </w:rPr>
        <w:t>1</w:t>
      </w:r>
      <w:r>
        <w:rPr>
          <w:lang w:val="en-US"/>
        </w:rPr>
        <w:t xml:space="preserve"> and </w:t>
      </w:r>
      <w:r>
        <w:rPr>
          <w:i/>
          <w:iCs/>
          <w:lang w:val="en-US"/>
        </w:rPr>
        <w:t>1-s</w:t>
      </w:r>
      <w:r>
        <w:rPr>
          <w:lang w:val="en-US"/>
        </w:rPr>
        <w:t xml:space="preserve">, respectively. We assume that individuals with mutations outside of the </w:t>
      </w:r>
      <w:r>
        <w:rPr>
          <w:i/>
          <w:iCs/>
          <w:lang w:val="en-US"/>
        </w:rPr>
        <w:t>A/a</w:t>
      </w:r>
      <w:r>
        <w:rPr>
          <w:lang w:val="en-US"/>
        </w:rPr>
        <w:t xml:space="preserve"> and </w:t>
      </w:r>
      <w:r>
        <w:rPr>
          <w:i/>
          <w:iCs/>
          <w:lang w:val="en-US"/>
        </w:rPr>
        <w:t>B/b</w:t>
      </w:r>
      <w:r>
        <w:rPr>
          <w:lang w:val="en-US"/>
        </w:rPr>
        <w:t xml:space="preserve"> loci are "evolutionary dead-ends" and do not contribute to the adaptation process. Therefore, assuming that the number of new mutations per individual is Poisson distributed,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of </w:t>
      </w:r>
      <w:r>
        <w:rPr>
          <w:lang w:val="en-US"/>
        </w:rPr>
        <w:lastRenderedPageBreak/>
        <w:t xml:space="preserve">the individuals are of interest. All together, the probability </w:t>
      </w:r>
      <w:r>
        <w:rPr>
          <w:i/>
          <w:iCs/>
          <w:lang w:val="en-US"/>
        </w:rPr>
        <w:t>q</w:t>
      </w:r>
      <w:r>
        <w:rPr>
          <w:lang w:val="en-US"/>
        </w:rPr>
        <w:t xml:space="preserve"> that a newborn is a double mutant can be summarized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B276B5">
            <w:pPr>
              <w:ind w:firstLine="0"/>
              <w:rPr>
                <w:lang w:val="en-US"/>
              </w:rPr>
            </w:pPr>
            <w:bookmarkStart w:id="7"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7"/>
          </w:p>
        </w:tc>
      </w:tr>
    </w:tbl>
    <w:p w:rsidR="00FA730F" w:rsidRDefault="00FA730F" w:rsidP="00FA730F">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above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B276B5">
            <w:pPr>
              <w:ind w:firstLine="0"/>
              <w:rPr>
                <w:lang w:val="en-US"/>
              </w:rPr>
            </w:pPr>
            <w:bookmarkStart w:id="8"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8"/>
          </w:p>
        </w:tc>
      </w:tr>
    </w:tbl>
    <w:p w:rsidR="00FA730F" w:rsidRDefault="00FA730F" w:rsidP="00FA730F">
      <w:pPr>
        <w:ind w:firstLine="0"/>
        <w:rPr>
          <w:lang w:val="en-US"/>
        </w:rPr>
      </w:pPr>
      <w:r>
        <w:rPr>
          <w:lang w:val="en-US"/>
        </w:rPr>
        <w:t>Note that stress-induction only increases the transition from single mutants to other types, but does not change the MSB frequency of single mutants, because this frequency is determined by the mutation rate of the wildtype which does not hypermutate.</w:t>
      </w:r>
    </w:p>
    <w:p w:rsidR="00FA730F" w:rsidRDefault="00FA730F" w:rsidP="00FA730F">
      <w:pPr>
        <w:ind w:firstLine="0"/>
        <w:rPr>
          <w:lang w:val="en-US"/>
        </w:rPr>
      </w:pPr>
      <w:r>
        <w:rPr>
          <w:lang w:val="en-US"/>
        </w:rPr>
        <w:t xml:space="preserve">If the mutation rate of the wildtype is increased as well, as in the case of constitutive hypermutation, the probability </w:t>
      </w:r>
      <w:r>
        <w:rPr>
          <w:i/>
          <w:iCs/>
          <w:lang w:val="en-US"/>
        </w:rPr>
        <w:t>q</w:t>
      </w:r>
      <w:r>
        <w:rPr>
          <w:lang w:val="en-US"/>
        </w:rPr>
        <w:t xml:space="preserve"> 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B276B5">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Pr>
                <w:noProof/>
                <w:lang w:val="en-US"/>
              </w:rPr>
              <w:t>5</w:t>
            </w:r>
            <w:r>
              <w:rPr>
                <w:lang w:val="en-US"/>
              </w:rPr>
              <w:fldChar w:fldCharType="end"/>
            </w:r>
            <w:r>
              <w:rPr>
                <w:lang w:val="en-US"/>
              </w:rPr>
              <w:t>)</w:t>
            </w:r>
          </w:p>
        </w:tc>
      </w:tr>
    </w:tbl>
    <w:p w:rsidR="00FA730F" w:rsidRDefault="00FA730F" w:rsidP="00F70828">
      <w:pPr>
        <w:ind w:firstLine="0"/>
        <w:rPr>
          <w:lang w:val="en-US"/>
        </w:rPr>
      </w:pPr>
      <w:r>
        <w:rPr>
          <w:lang w:val="en-US"/>
        </w:rPr>
        <w:t>because increased mutation rate in the wildtype affects the MSB frequencies.</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9"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0"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0"/>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1"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1"/>
          </w:p>
        </w:tc>
      </w:tr>
    </w:tbl>
    <w:p w:rsidR="00BA00E0" w:rsidRPr="00BA00E0" w:rsidRDefault="00BA00E0" w:rsidP="004F792E">
      <w:pPr>
        <w:ind w:firstLine="0"/>
        <w:rPr>
          <w:lang w:val="en-US"/>
        </w:rPr>
      </w:pPr>
      <w:r>
        <w:rPr>
          <w:lang w:val="en-US"/>
        </w:rPr>
        <w:t xml:space="preserve">For comparisons of </w:t>
      </w:r>
      <w:r w:rsidR="004F792E">
        <w:rPr>
          <w:lang w:val="en-US"/>
        </w:rPr>
        <w:t>of this approximaitons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r>
        <w:rPr>
          <w:lang w:val="en-US"/>
        </w:rPr>
        <w:t xml:space="preserve">we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Eshel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B276B5">
            <w:pPr>
              <w:ind w:firstLine="0"/>
              <w:rPr>
                <w:lang w:val="en-US"/>
              </w:rPr>
            </w:pPr>
            <w:bookmarkStart w:id="12" w:name="_Ref354133212"/>
            <w:r>
              <w:rPr>
                <w:lang w:val="en-US"/>
              </w:rPr>
              <w:t>(</w:t>
            </w:r>
            <w:r>
              <w:rPr>
                <w:lang w:val="en-US"/>
              </w:rPr>
              <w:fldChar w:fldCharType="begin"/>
            </w:r>
            <w:r>
              <w:rPr>
                <w:lang w:val="en-US"/>
              </w:rPr>
              <w:instrText xml:space="preserve"> SEQ Equation </w:instrText>
            </w:r>
            <w:r>
              <w:rPr>
                <w:lang w:val="en-US"/>
              </w:rPr>
              <w:fldChar w:fldCharType="separate"/>
            </w:r>
            <w:r>
              <w:rPr>
                <w:noProof/>
                <w:lang w:val="en-US"/>
              </w:rPr>
              <w:t>6</w:t>
            </w:r>
            <w:r>
              <w:rPr>
                <w:lang w:val="en-US"/>
              </w:rPr>
              <w:fldChar w:fldCharType="end"/>
            </w:r>
            <w:r>
              <w:rPr>
                <w:lang w:val="en-US"/>
              </w:rPr>
              <w:t>)</w:t>
            </w:r>
            <w:bookmarkEnd w:id="12"/>
          </w:p>
        </w:tc>
      </w:tr>
    </w:tbl>
    <w:p w:rsidR="00FA730F" w:rsidRDefault="00FA730F" w:rsidP="00FA730F">
      <w:pPr>
        <w:ind w:firstLine="0"/>
        <w:rPr>
          <w:lang w:val="en-US"/>
        </w:rPr>
      </w:pPr>
      <w:r>
        <w:rPr>
          <w:lang w:val="en-US"/>
        </w:rPr>
        <w:t xml:space="preserve">where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 to 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w:lastRenderedPageBreak/>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B276B5">
            <w:pPr>
              <w:ind w:firstLine="0"/>
              <w:rPr>
                <w:lang w:val="en-US"/>
              </w:rPr>
            </w:pPr>
            <w:bookmarkStart w:id="13" w:name="_Ref354133215"/>
            <w:r>
              <w:rPr>
                <w:lang w:val="en-US"/>
              </w:rPr>
              <w:t>(</w:t>
            </w:r>
            <w:r>
              <w:rPr>
                <w:lang w:val="en-US"/>
              </w:rPr>
              <w:fldChar w:fldCharType="begin"/>
            </w:r>
            <w:r>
              <w:rPr>
                <w:lang w:val="en-US"/>
              </w:rPr>
              <w:instrText xml:space="preserve"> SEQ Equation </w:instrText>
            </w:r>
            <w:r>
              <w:rPr>
                <w:lang w:val="en-US"/>
              </w:rPr>
              <w:fldChar w:fldCharType="separate"/>
            </w:r>
            <w:r>
              <w:rPr>
                <w:noProof/>
                <w:lang w:val="en-US"/>
              </w:rPr>
              <w:t>7</w:t>
            </w:r>
            <w:r>
              <w:rPr>
                <w:lang w:val="en-US"/>
              </w:rPr>
              <w:fldChar w:fldCharType="end"/>
            </w:r>
            <w:r>
              <w:rPr>
                <w:lang w:val="en-US"/>
              </w:rPr>
              <w:t>)</w:t>
            </w:r>
            <w:bookmarkEnd w:id="13"/>
          </w:p>
        </w:tc>
      </w:tr>
    </w:tbl>
    <w:p w:rsidR="00FA730F" w:rsidRPr="008572C9" w:rsidRDefault="00FA730F" w:rsidP="00FA730F">
      <w:pPr>
        <w:ind w:firstLine="0"/>
        <w:rPr>
          <w:lang w:val="en-US"/>
        </w:rPr>
      </w:pPr>
      <w:r>
        <w:rPr>
          <w:lang w:val="en-US"/>
        </w:rPr>
        <w:t xml:space="preserve">and assuming that fitness is measured by the number of progeny which is Poisson distributed. Here, </w:t>
      </w:r>
      <w:r w:rsidRPr="00E133E7">
        <w:rPr>
          <w:highlight w:val="yellow"/>
          <w:lang w:val="en-US"/>
        </w:rPr>
        <w:t xml:space="preserve">mutation incurs a fitness cost of </w:t>
      </w:r>
      <w:r w:rsidRPr="00E133E7">
        <w:rPr>
          <w:i/>
          <w:iCs/>
          <w:highlight w:val="yellow"/>
          <w:lang w:val="en-US"/>
        </w:rPr>
        <w:t>e</w:t>
      </w:r>
      <w:r w:rsidRPr="00E133E7">
        <w:rPr>
          <w:i/>
          <w:iCs/>
          <w:highlight w:val="yellow"/>
          <w:vertAlign w:val="superscript"/>
          <w:lang w:val="en-US"/>
        </w:rPr>
        <w:t>-U</w:t>
      </w:r>
      <w:r>
        <w:rPr>
          <w:lang w:val="en-US"/>
        </w:rPr>
        <w:t>. This is usually ignored because mutation is uniform in the population, but as we will see below, it is an important factor in our model.</w:t>
      </w:r>
    </w:p>
    <w:p w:rsidR="00FA730F" w:rsidRDefault="00FA730F" w:rsidP="00FA730F">
      <w:pPr>
        <w:ind w:firstLine="0"/>
        <w:rPr>
          <w:lang w:val="en-US"/>
        </w:rPr>
      </w:pPr>
      <w:r>
        <w:rPr>
          <w:lang w:val="en-US"/>
        </w:rPr>
        <w:t xml:space="preserve">Because the frequency of double mutants is very low at the stage where they are subject to possible extinction by drift, the population mean fitness can be calculated without considering double mutants. Therefore, 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Pr="00013523">
        <w:rPr>
          <w:noProof/>
          <w:lang w:val="en-US"/>
        </w:rPr>
        <w:t>(21)</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B276B5">
            <w:pPr>
              <w:ind w:firstLine="0"/>
              <w:rPr>
                <w:lang w:val="en-US"/>
              </w:rPr>
            </w:pPr>
            <w:bookmarkStart w:id="14" w:name="_Ref354316816"/>
            <w:r>
              <w:rPr>
                <w:lang w:val="en-US"/>
              </w:rPr>
              <w:t>(</w:t>
            </w:r>
            <w:r>
              <w:rPr>
                <w:lang w:val="en-US"/>
              </w:rPr>
              <w:fldChar w:fldCharType="begin"/>
            </w:r>
            <w:r>
              <w:rPr>
                <w:lang w:val="en-US"/>
              </w:rPr>
              <w:instrText xml:space="preserve"> SEQ Equation </w:instrText>
            </w:r>
            <w:r>
              <w:rPr>
                <w:lang w:val="en-US"/>
              </w:rPr>
              <w:fldChar w:fldCharType="separate"/>
            </w:r>
            <w:r>
              <w:rPr>
                <w:noProof/>
                <w:lang w:val="en-US"/>
              </w:rPr>
              <w:t>8</w:t>
            </w:r>
            <w:r>
              <w:rPr>
                <w:lang w:val="en-US"/>
              </w:rPr>
              <w:fldChar w:fldCharType="end"/>
            </w:r>
            <w:r>
              <w:rPr>
                <w:lang w:val="en-US"/>
              </w:rPr>
              <w:t>)</w:t>
            </w:r>
            <w:bookmarkEnd w:id="14"/>
          </w:p>
        </w:tc>
      </w:tr>
    </w:tbl>
    <w:p w:rsidR="00FA730F" w:rsidRPr="00CC2E91" w:rsidRDefault="00FA730F" w:rsidP="00FA730F">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B276B5">
            <w:pPr>
              <w:ind w:firstLine="0"/>
              <w:rPr>
                <w:lang w:val="en-US"/>
              </w:rPr>
            </w:pPr>
            <w:bookmarkStart w:id="15" w:name="_Ref354134928"/>
            <w:r>
              <w:rPr>
                <w:lang w:val="en-US"/>
              </w:rPr>
              <w:t>(</w:t>
            </w:r>
            <w:r>
              <w:rPr>
                <w:lang w:val="en-US"/>
              </w:rPr>
              <w:fldChar w:fldCharType="begin"/>
            </w:r>
            <w:r>
              <w:rPr>
                <w:lang w:val="en-US"/>
              </w:rPr>
              <w:instrText xml:space="preserve"> SEQ Equation </w:instrText>
            </w:r>
            <w:r>
              <w:rPr>
                <w:lang w:val="en-US"/>
              </w:rPr>
              <w:fldChar w:fldCharType="separate"/>
            </w:r>
            <w:r>
              <w:rPr>
                <w:noProof/>
                <w:lang w:val="en-US"/>
              </w:rPr>
              <w:t>9</w:t>
            </w:r>
            <w:r>
              <w:rPr>
                <w:lang w:val="en-US"/>
              </w:rPr>
              <w:fldChar w:fldCharType="end"/>
            </w:r>
            <w:r>
              <w:rPr>
                <w:lang w:val="en-US"/>
              </w:rPr>
              <w:t>)</w:t>
            </w:r>
            <w:bookmarkEnd w:id="15"/>
          </w:p>
        </w:tc>
      </w:tr>
    </w:tbl>
    <w:p w:rsidR="00FA730F" w:rsidRDefault="00FA730F" w:rsidP="00FA730F">
      <w:pPr>
        <w:ind w:firstLine="0"/>
        <w:rPr>
          <w:lang w:val="en-US"/>
        </w:rPr>
      </w:pPr>
      <w:r>
        <w:rPr>
          <w:lang w:val="en-US"/>
        </w:rPr>
        <w:t xml:space="preserve">Which is a classic result in population genetics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013523">
        <w:rPr>
          <w:noProof/>
          <w:lang w:val="en-US"/>
        </w:rPr>
        <w:t>(23)</w:t>
      </w:r>
      <w:r>
        <w:rPr>
          <w:lang w:val="en-US"/>
        </w:rPr>
        <w:fldChar w:fldCharType="end"/>
      </w:r>
      <w:r>
        <w:rPr>
          <w:lang w:val="en-US"/>
        </w:rPr>
        <w:t xml:space="preserve">. Note that this value </w:t>
      </w:r>
      <w:r w:rsidRPr="000F696F">
        <w:rPr>
          <w:lang w:val="en-US"/>
        </w:rPr>
        <w:t>does not</w:t>
      </w:r>
      <w:r>
        <w:rPr>
          <w:lang w:val="en-US"/>
        </w:rPr>
        <w:t xml:space="preserve"> depend on the mutation rate so it is not affected by constitutive hypermutation. </w:t>
      </w:r>
    </w:p>
    <w:p w:rsidR="00FA730F" w:rsidRDefault="00FA730F" w:rsidP="00FA730F">
      <w:pPr>
        <w:ind w:firstLine="0"/>
        <w:rPr>
          <w:lang w:val="en-US"/>
        </w:rPr>
      </w:pPr>
      <w:r>
        <w:rPr>
          <w:lang w:val="en-US"/>
        </w:rPr>
        <w:t xml:space="preserve">However, as we have shown before </w:t>
      </w:r>
      <w:r>
        <w:rPr>
          <w:lang w:val="en-US"/>
        </w:rPr>
        <w:fldChar w:fldCharType="begin" w:fldLock="1"/>
      </w:r>
      <w:r>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013523">
        <w:rPr>
          <w:noProof/>
          <w:lang w:val="en-US"/>
        </w:rPr>
        <w:t>(4)</w:t>
      </w:r>
      <w:r>
        <w:rPr>
          <w:lang w:val="en-US"/>
        </w:rPr>
        <w:fldChar w:fldCharType="end"/>
      </w:r>
      <w:r>
        <w:rPr>
          <w:lang w:val="en-US"/>
        </w:rPr>
        <w:t xml:space="preserve">, the mean fitness of a population with stress-induced mutation can be different from </w:t>
      </w:r>
      <w:r w:rsidRPr="004B1BAC">
        <w:rPr>
          <w:i/>
          <w:iCs/>
          <w:lang w:val="en-US"/>
        </w:rPr>
        <w:t>e</w:t>
      </w:r>
      <w:r w:rsidRPr="004B1BAC">
        <w:rPr>
          <w:i/>
          <w:iCs/>
          <w:vertAlign w:val="superscript"/>
          <w:lang w:val="en-US"/>
        </w:rPr>
        <w:t>-U</w:t>
      </w:r>
      <w:r>
        <w:rPr>
          <w:lang w:val="en-US"/>
        </w:rPr>
        <w:t xml:space="preserve"> because of the variation in the mutation rate. Here, the mean fitness with stress-induced mutation can be calculated by separating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of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non-mutation-free fraction, which have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is </w:t>
      </w:r>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B276B5">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Pr>
                <w:noProof/>
                <w:lang w:val="en-US"/>
              </w:rPr>
              <w:t>10</w:t>
            </w:r>
            <w:r>
              <w:rPr>
                <w:lang w:val="en-US"/>
              </w:rPr>
              <w:fldChar w:fldCharType="end"/>
            </w:r>
            <w:r>
              <w:rPr>
                <w:lang w:val="en-US"/>
              </w:rPr>
              <w:t>)</w:t>
            </w:r>
          </w:p>
        </w:tc>
      </w:tr>
    </w:tbl>
    <w:p w:rsidR="00FA730F" w:rsidRDefault="00FA730F" w:rsidP="00FA730F">
      <w:pPr>
        <w:ind w:firstLine="0"/>
        <w:rPr>
          <w:lang w:val="en-US"/>
        </w:rPr>
      </w:pPr>
      <w:r>
        <w:rPr>
          <w:lang w:val="en-US"/>
        </w:rPr>
        <w:t xml:space="preserve">Pluging this in </w:t>
      </w:r>
      <w:r>
        <w:rPr>
          <w:lang w:val="en-US"/>
        </w:rPr>
        <w:fldChar w:fldCharType="begin"/>
      </w:r>
      <w:r>
        <w:rPr>
          <w:lang w:val="en-US"/>
        </w:rPr>
        <w:instrText xml:space="preserve"> REF _Ref354133212 \h  \* MERGEFORMAT </w:instrText>
      </w:r>
      <w:r>
        <w:rPr>
          <w:lang w:val="en-US"/>
        </w:rPr>
      </w:r>
      <w:r>
        <w:rPr>
          <w:lang w:val="en-US"/>
        </w:rPr>
        <w:fldChar w:fldCharType="separate"/>
      </w:r>
      <w:r>
        <w:rPr>
          <w:lang w:val="en-US"/>
        </w:rPr>
        <w:t>(</w:t>
      </w:r>
      <w:r>
        <w:rPr>
          <w:noProof/>
          <w:lang w:val="en-US"/>
        </w:rPr>
        <w:t>6</w:t>
      </w:r>
      <w:r>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Pr>
          <w:lang w:val="en-US"/>
        </w:rPr>
        <w:t>(</w:t>
      </w:r>
      <w:r>
        <w:rPr>
          <w:noProof/>
          <w:lang w:val="en-US"/>
        </w:rPr>
        <w:t>7</w:t>
      </w:r>
      <w:r>
        <w:rPr>
          <w:lang w:val="en-US"/>
        </w:rPr>
        <w:t>)</w:t>
      </w:r>
      <w:r>
        <w:rPr>
          <w:lang w:val="en-US"/>
        </w:rPr>
        <w:fldChar w:fldCharType="end"/>
      </w:r>
      <w:r>
        <w:rPr>
          <w:lang w:val="en-US"/>
        </w:rPr>
        <w:t xml:space="preserve"> gives a different fixation probability for populations with stress-induced mutation (see </w:t>
      </w:r>
      <w:r>
        <w:rPr>
          <w:lang w:val="en-US"/>
        </w:rPr>
        <w:fldChar w:fldCharType="begin"/>
      </w:r>
      <w:r>
        <w:rPr>
          <w:lang w:val="en-US"/>
        </w:rPr>
        <w:instrText xml:space="preserve"> REF _Ref354319797 \r \h </w:instrText>
      </w:r>
      <w:r>
        <w:rPr>
          <w:lang w:val="en-US"/>
        </w:rPr>
      </w:r>
      <w:r>
        <w:rPr>
          <w:lang w:val="en-US"/>
        </w:rPr>
        <w:fldChar w:fldCharType="separate"/>
      </w:r>
      <w:r>
        <w:rPr>
          <w:rFonts w:hint="eastAsia"/>
          <w:cs/>
          <w:lang w:val="en-US"/>
        </w:rPr>
        <w:t>‎</w:t>
      </w:r>
      <w:r>
        <w:rPr>
          <w:lang w:val="en-US"/>
        </w:rPr>
        <w:t>10.1</w:t>
      </w:r>
      <w:r>
        <w:rPr>
          <w:lang w:val="en-US"/>
        </w:rPr>
        <w:fldChar w:fldCharType="end"/>
      </w:r>
      <w:r>
        <w:rPr>
          <w:lang w:val="en-US"/>
        </w:rPr>
        <w:t xml:space="preserve"> for full derivation):</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B276B5">
            <w:pPr>
              <w:ind w:firstLine="0"/>
              <w:rPr>
                <w:lang w:val="en-US"/>
              </w:rPr>
            </w:pPr>
            <w:bookmarkStart w:id="16" w:name="_Ref354134929"/>
            <w:r>
              <w:rPr>
                <w:lang w:val="en-US"/>
              </w:rPr>
              <w:t>(</w:t>
            </w:r>
            <w:r>
              <w:rPr>
                <w:lang w:val="en-US"/>
              </w:rPr>
              <w:fldChar w:fldCharType="begin"/>
            </w:r>
            <w:r>
              <w:rPr>
                <w:lang w:val="en-US"/>
              </w:rPr>
              <w:instrText xml:space="preserve"> SEQ Equation </w:instrText>
            </w:r>
            <w:r>
              <w:rPr>
                <w:lang w:val="en-US"/>
              </w:rPr>
              <w:fldChar w:fldCharType="separate"/>
            </w:r>
            <w:r>
              <w:rPr>
                <w:noProof/>
                <w:lang w:val="en-US"/>
              </w:rPr>
              <w:t>11</w:t>
            </w:r>
            <w:r>
              <w:rPr>
                <w:lang w:val="en-US"/>
              </w:rPr>
              <w:fldChar w:fldCharType="end"/>
            </w:r>
            <w:r>
              <w:rPr>
                <w:lang w:val="en-US"/>
              </w:rPr>
              <w:t>)</w:t>
            </w:r>
            <w:bookmarkEnd w:id="16"/>
          </w:p>
        </w:tc>
      </w:tr>
    </w:tbl>
    <w:p w:rsidR="00FA730F" w:rsidRDefault="00FA730F" w:rsidP="00485817">
      <w:pPr>
        <w:pStyle w:val="Firstparagraph"/>
        <w:rPr>
          <w:lang w:val="en-US"/>
        </w:rPr>
      </w:pP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7"/>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lastRenderedPageBreak/>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cial mutaitions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is </w:t>
      </w:r>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FA730F" w:rsidRDefault="00FA730F" w:rsidP="00FA730F">
      <w:pPr>
        <w:ind w:firstLine="0"/>
        <w:rPr>
          <w:lang w:val="en-US"/>
        </w:rPr>
      </w:pPr>
      <w:r>
        <w:rPr>
          <w:lang w:val="en-US"/>
        </w:rPr>
        <w:t xml:space="preserve">From the probability </w:t>
      </w:r>
      <w:r>
        <w:rPr>
          <w:i/>
          <w:iCs/>
          <w:lang w:val="en-US"/>
        </w:rPr>
        <w:t>q</w:t>
      </w:r>
      <w:r>
        <w:rPr>
          <w:lang w:val="en-US"/>
        </w:rPr>
        <w:t xml:space="preserve"> that in a population without double mutants a newborn is a double mutant we can derive the probability that some double mutants appear in the next generation </w:t>
      </w:r>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r w:rsidRPr="001752B4">
        <w:rPr>
          <w:i/>
          <w:iCs/>
          <w:lang w:val="en-US"/>
        </w:rPr>
        <w:t>Nq</w:t>
      </w:r>
      <w:r>
        <w:rPr>
          <w:lang w:val="en-US"/>
        </w:rPr>
        <w:t xml:space="preserve"> is very small, hence this probability can be approximated by </w:t>
      </w:r>
      <w:r>
        <w:rPr>
          <w:i/>
          <w:iCs/>
          <w:lang w:val="en-US"/>
        </w:rPr>
        <w:t>Nq</w:t>
      </w:r>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FA730F">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which will go to fixation </w:t>
      </w:r>
      <w:r>
        <w:rPr>
          <w:i/>
          <w:iCs/>
          <w:lang w:val="en-US"/>
        </w:rPr>
        <w:t>T</w:t>
      </w:r>
      <w:r>
        <w:rPr>
          <w:i/>
          <w:iCs/>
          <w:vertAlign w:val="subscript"/>
          <w:lang w:val="en-US"/>
        </w:rPr>
        <w:t>w</w:t>
      </w:r>
      <w:r>
        <w:rPr>
          <w:lang w:val="en-US"/>
        </w:rPr>
        <w:t xml:space="preserve">. This is true as long as fixation is a much faster process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r w:rsidRPr="00D516F5">
        <w:rPr>
          <w:i/>
          <w:iCs/>
          <w:lang w:val="en-US"/>
        </w:rPr>
        <w:t>Nq</w:t>
      </w:r>
      <w:r>
        <w:rPr>
          <w:rFonts w:ascii="Cambria Math" w:hAnsi="Cambria Math" w:cstheme="majorBidi"/>
          <w:i/>
          <w:iCs/>
          <w:lang w:val="en-US"/>
        </w:rPr>
        <w:t>𝜌</w:t>
      </w:r>
      <w:r>
        <w:rPr>
          <w:lang w:val="en-US"/>
        </w:rPr>
        <w:t xml:space="preserve"> and therefore the expected time for adaptation and its inverse, the adaptation rate </w:t>
      </w:r>
      <w:r w:rsidRPr="00D35121">
        <w:rPr>
          <w:rFonts w:ascii="Times New Roman" w:hAnsi="Times New Roman"/>
          <w:i/>
          <w:iCs/>
          <w:lang w:val="en-US"/>
        </w:rPr>
        <w:t>ν</w:t>
      </w:r>
      <w:r>
        <w:rPr>
          <w:lang w:val="en-US"/>
        </w:rPr>
        <w:t>,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FA730F" w:rsidRDefault="00FA730F" w:rsidP="00B276B5">
            <w:pPr>
              <w:ind w:firstLine="0"/>
              <w:rPr>
                <w:lang w:val="en-US"/>
              </w:rPr>
            </w:pPr>
            <w:bookmarkStart w:id="18" w:name="_Ref354319010"/>
            <w:r>
              <w:rPr>
                <w:lang w:val="en-US"/>
              </w:rPr>
              <w:t>(</w:t>
            </w:r>
            <w:r>
              <w:rPr>
                <w:lang w:val="en-US"/>
              </w:rPr>
              <w:fldChar w:fldCharType="begin"/>
            </w:r>
            <w:r>
              <w:rPr>
                <w:lang w:val="en-US"/>
              </w:rPr>
              <w:instrText xml:space="preserve"> SEQ Equation </w:instrText>
            </w:r>
            <w:r>
              <w:rPr>
                <w:lang w:val="en-US"/>
              </w:rPr>
              <w:fldChar w:fldCharType="separate"/>
            </w:r>
            <w:r>
              <w:rPr>
                <w:noProof/>
                <w:lang w:val="en-US"/>
              </w:rPr>
              <w:t>12</w:t>
            </w:r>
            <w:r>
              <w:rPr>
                <w:lang w:val="en-US"/>
              </w:rPr>
              <w:fldChar w:fldCharType="end"/>
            </w:r>
            <w:r>
              <w:rPr>
                <w:lang w:val="en-US"/>
              </w:rPr>
              <w:t>)</w:t>
            </w:r>
            <w:bookmarkEnd w:id="18"/>
          </w:p>
        </w:tc>
      </w:tr>
    </w:tbl>
    <w:p w:rsidR="00FA730F" w:rsidRDefault="00FA730F" w:rsidP="00FA730F">
      <w:pPr>
        <w:ind w:firstLine="0"/>
        <w:rPr>
          <w:lang w:val="en-US"/>
        </w:rPr>
      </w:pPr>
      <w:r>
        <w:rPr>
          <w:lang w:val="en-US"/>
        </w:rPr>
        <w:t xml:space="preserve">This expression can be evaluated with or without stress-induced mutation by using Eqs. </w:t>
      </w:r>
      <w:r>
        <w:rPr>
          <w:lang w:val="en-US"/>
        </w:rPr>
        <w:fldChar w:fldCharType="begin"/>
      </w:r>
      <w:r>
        <w:rPr>
          <w:lang w:val="en-US"/>
        </w:rPr>
        <w:instrText xml:space="preserve"> REF _Ref354134924 \h  \* MERGEFORMAT </w:instrText>
      </w:r>
      <w:r>
        <w:rPr>
          <w:lang w:val="en-US"/>
        </w:rPr>
      </w:r>
      <w:r>
        <w:rPr>
          <w:lang w:val="en-US"/>
        </w:rPr>
        <w:fldChar w:fldCharType="separate"/>
      </w:r>
      <w:r>
        <w:rPr>
          <w:lang w:val="en-US"/>
        </w:rPr>
        <w:t>(</w:t>
      </w:r>
      <w:r>
        <w:rPr>
          <w:noProof/>
          <w:lang w:val="en-US"/>
        </w:rPr>
        <w:t>3</w:t>
      </w:r>
      <w:r>
        <w:rPr>
          <w:lang w:val="en-US"/>
        </w:rPr>
        <w:t>)</w:t>
      </w:r>
      <w:r>
        <w:rPr>
          <w:lang w:val="en-US"/>
        </w:rPr>
        <w:fldChar w:fldCharType="end"/>
      </w:r>
      <w:r>
        <w:rPr>
          <w:lang w:val="en-US"/>
        </w:rPr>
        <w:t xml:space="preserve">, </w:t>
      </w:r>
      <w:r>
        <w:rPr>
          <w:lang w:val="en-US"/>
        </w:rPr>
        <w:fldChar w:fldCharType="begin"/>
      </w:r>
      <w:r>
        <w:rPr>
          <w:lang w:val="en-US"/>
        </w:rPr>
        <w:instrText xml:space="preserve"> REF _Ref354134926 \h  \* MERGEFORMAT </w:instrText>
      </w:r>
      <w:r>
        <w:rPr>
          <w:lang w:val="en-US"/>
        </w:rPr>
      </w:r>
      <w:r>
        <w:rPr>
          <w:lang w:val="en-US"/>
        </w:rPr>
        <w:fldChar w:fldCharType="separate"/>
      </w:r>
      <w:r>
        <w:rPr>
          <w:lang w:val="en-US"/>
        </w:rPr>
        <w:t>(</w:t>
      </w:r>
      <w:r>
        <w:rPr>
          <w:noProof/>
          <w:lang w:val="en-US"/>
        </w:rPr>
        <w:t>4</w:t>
      </w:r>
      <w:r>
        <w:rPr>
          <w:lang w:val="en-US"/>
        </w:rPr>
        <w:t>)</w:t>
      </w:r>
      <w:r>
        <w:rPr>
          <w:lang w:val="en-US"/>
        </w:rPr>
        <w:fldChar w:fldCharType="end"/>
      </w:r>
      <w:r>
        <w:rPr>
          <w:lang w:val="en-US"/>
        </w:rPr>
        <w:t xml:space="preserve">, </w:t>
      </w:r>
      <w:r>
        <w:rPr>
          <w:lang w:val="en-US"/>
        </w:rPr>
        <w:fldChar w:fldCharType="begin"/>
      </w:r>
      <w:r>
        <w:rPr>
          <w:lang w:val="en-US"/>
        </w:rPr>
        <w:instrText xml:space="preserve"> REF _Ref354134928 \h  \* MERGEFORMAT </w:instrText>
      </w:r>
      <w:r>
        <w:rPr>
          <w:lang w:val="en-US"/>
        </w:rPr>
      </w:r>
      <w:r>
        <w:rPr>
          <w:lang w:val="en-US"/>
        </w:rPr>
        <w:fldChar w:fldCharType="separate"/>
      </w:r>
      <w:r>
        <w:rPr>
          <w:lang w:val="en-US"/>
        </w:rPr>
        <w:t>(</w:t>
      </w:r>
      <w:r>
        <w:rPr>
          <w:noProof/>
          <w:lang w:val="en-US"/>
        </w:rPr>
        <w:t>9</w:t>
      </w:r>
      <w:r>
        <w:rPr>
          <w:lang w:val="en-US"/>
        </w:rPr>
        <w:t>)</w:t>
      </w:r>
      <w:r>
        <w:rPr>
          <w:lang w:val="en-US"/>
        </w:rPr>
        <w:fldChar w:fldCharType="end"/>
      </w:r>
      <w:r>
        <w:rPr>
          <w:lang w:val="en-US"/>
        </w:rPr>
        <w:t xml:space="preserve"> and </w:t>
      </w:r>
      <w:r>
        <w:rPr>
          <w:lang w:val="en-US"/>
        </w:rPr>
        <w:fldChar w:fldCharType="begin"/>
      </w:r>
      <w:r>
        <w:rPr>
          <w:lang w:val="en-US"/>
        </w:rPr>
        <w:instrText xml:space="preserve"> REF _Ref354134929 \h  \* MERGEFORMAT </w:instrText>
      </w:r>
      <w:r>
        <w:rPr>
          <w:lang w:val="en-US"/>
        </w:rPr>
      </w:r>
      <w:r>
        <w:rPr>
          <w:lang w:val="en-US"/>
        </w:rPr>
        <w:fldChar w:fldCharType="separate"/>
      </w:r>
      <w:r>
        <w:rPr>
          <w:lang w:val="en-US"/>
        </w:rPr>
        <w:t>(</w:t>
      </w:r>
      <w:r>
        <w:rPr>
          <w:noProof/>
          <w:lang w:val="en-US"/>
        </w:rPr>
        <w:t>11</w:t>
      </w:r>
      <w:r>
        <w:rPr>
          <w:lang w:val="en-US"/>
        </w:rPr>
        <w:t>)</w:t>
      </w:r>
      <w:r>
        <w:rPr>
          <w:lang w:val="en-US"/>
        </w:rPr>
        <w:fldChar w:fldCharType="end"/>
      </w:r>
      <w:r>
        <w:rPr>
          <w:lang w:val="en-US"/>
        </w:rPr>
        <w:t>.</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r>
        <w:rPr>
          <w:lang w:val="en-US"/>
        </w:rPr>
        <w:t xml:space="preserve">Eqs.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Eqs.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 xml:space="preserve">), </w:t>
      </w:r>
      <w:r w:rsidR="00815CB8">
        <w:rPr>
          <w:lang w:val="en-US"/>
        </w:rPr>
        <w:t xml:space="preserve"> a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2C3A88">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lastRenderedPageBreak/>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7F930D3C" wp14:editId="476FB281">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096B5A">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line</w:t>
      </w:r>
      <w:r w:rsidR="00A80402">
        <w:rPr>
          <w:b w:val="0"/>
          <w:bCs w:val="0"/>
          <w:lang w:val="en-US"/>
        </w:rPr>
        <w:t xml:space="preserve">and the simulation results in </w:t>
      </w:r>
      <w:r>
        <w:rPr>
          <w:b w:val="0"/>
          <w:bCs w:val="0"/>
          <w:lang w:val="en-US"/>
        </w:rPr>
        <w:t>black points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increase in fixation probability (Eq. X) is to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decreae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9"/>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AE4CC8">
      <w:pPr>
        <w:pStyle w:val="Heading1"/>
        <w:rPr>
          <w:lang w:val="en-US"/>
        </w:rPr>
      </w:pPr>
      <w:r>
        <w:rPr>
          <w:lang w:val="en-US"/>
        </w:rPr>
        <w:t xml:space="preserve">Data </w:t>
      </w:r>
      <w:r w:rsidR="00AE4CC8">
        <w:rPr>
          <w:lang w:val="en-US"/>
        </w:rPr>
        <w:t>a</w:t>
      </w:r>
      <w:r>
        <w:rPr>
          <w:lang w:val="en-US"/>
        </w:rPr>
        <w:t>ccessability</w:t>
      </w:r>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r>
        <w:t xml:space="preserve">GitHub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AE4CC8">
      <w:pPr>
        <w:pStyle w:val="Heading1"/>
        <w:rPr>
          <w:lang w:val="en-US"/>
        </w:rPr>
      </w:pPr>
      <w:r>
        <w:rPr>
          <w:lang w:val="en-US"/>
        </w:rPr>
        <w:t xml:space="preserve">Figure </w:t>
      </w:r>
      <w:r w:rsidR="00AE4CC8">
        <w:rPr>
          <w:lang w:val="en-US"/>
        </w:rPr>
        <w:t>l</w:t>
      </w:r>
      <w:r>
        <w:rPr>
          <w:lang w:val="en-US"/>
        </w:rPr>
        <w:t>egends</w:t>
      </w:r>
    </w:p>
    <w:p w:rsidR="00CB0B5A" w:rsidRDefault="00CB0B5A" w:rsidP="00AE4CC8">
      <w:pPr>
        <w:pStyle w:val="Heading1"/>
        <w:rPr>
          <w:lang w:val="en-US"/>
        </w:rPr>
      </w:pPr>
      <w:r>
        <w:rPr>
          <w:lang w:val="en-US"/>
        </w:rPr>
        <w:t xml:space="preserve">Table </w:t>
      </w:r>
      <w:r w:rsidR="00AE4CC8">
        <w:rPr>
          <w:lang w:val="en-US"/>
        </w:rPr>
        <w:t>l</w:t>
      </w:r>
      <w:r>
        <w:rPr>
          <w:lang w:val="en-US"/>
        </w:rPr>
        <w:t>egends</w:t>
      </w:r>
    </w:p>
    <w:p w:rsidR="00CB0B5A" w:rsidRDefault="00CB0B5A" w:rsidP="00AE4CC8">
      <w:pPr>
        <w:pStyle w:val="Heading1"/>
        <w:rPr>
          <w:lang w:val="en-US"/>
        </w:rPr>
      </w:pPr>
      <w:r>
        <w:rPr>
          <w:lang w:val="en-US"/>
        </w:rPr>
        <w:t xml:space="preserve">Short </w:t>
      </w:r>
      <w:r w:rsidR="00AE4CC8">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AE4CC8">
      <w:pPr>
        <w:pStyle w:val="Heading1"/>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paramters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r>
        <w:rPr>
          <w:lang w:val="en-US"/>
        </w:rPr>
        <w:t xml:space="preserve">Pluging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r>
        <w:rPr>
          <w:lang w:val="en-US"/>
        </w:rPr>
        <w:t>Pluging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r>
        <w:rPr>
          <w:lang w:val="en-US"/>
        </w:rPr>
        <w:t>Analytical model</w:t>
      </w:r>
      <w:r w:rsidR="0043263E">
        <w:rPr>
          <w:lang w:val="en-US"/>
        </w:rPr>
        <w:fldChar w:fldCharType="end"/>
      </w:r>
      <w:r w:rsidR="0043263E">
        <w:rPr>
          <w:lang w:val="en-US"/>
        </w:rPr>
        <w:t xml:space="preserve"> section.</w:t>
      </w:r>
      <w:r w:rsidR="00332A32">
        <w:rPr>
          <w:lang w:val="en-US"/>
        </w:rPr>
        <w:t xml:space="preserve"> The term "first-order" approximations is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series </w:t>
      </w:r>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for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We will denote these first-order approximations by an asterix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r>
        <w:rPr>
          <w:i/>
          <w:iCs/>
          <w:lang w:val="en-US"/>
        </w:rPr>
        <w:t>sU</w:t>
      </w:r>
      <w:r>
        <w:rPr>
          <w:lang w:val="en-US"/>
        </w:rPr>
        <w:t xml:space="preserve"> ismuch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r>
        <w:rPr>
          <w:i/>
          <w:iCs/>
          <w:lang w:val="en-US"/>
        </w:rPr>
        <w:t>Us</w:t>
      </w:r>
      <w:r>
        <w:rPr>
          <w:lang w:val="en-US"/>
        </w:rPr>
        <w:t xml:space="preserve"> is smaller than </w:t>
      </w:r>
      <w:r>
        <w:rPr>
          <w:i/>
          <w:iCs/>
          <w:lang w:val="en-US"/>
        </w:rPr>
        <w:t>U</w:t>
      </w:r>
      <w:r>
        <w:rPr>
          <w:lang w:val="en-US"/>
        </w:rPr>
        <w:t xml:space="preserve"> and that </w:t>
      </w:r>
      <w:r>
        <w:rPr>
          <w:rFonts w:ascii="Times New Roman" w:hAnsi="Times New Roman"/>
          <w:i/>
          <w:iCs/>
          <w:lang w:val="en-US"/>
        </w:rPr>
        <w:t>τ</w:t>
      </w:r>
      <w:r>
        <w:rPr>
          <w:i/>
          <w:iCs/>
          <w:lang w:val="en-US"/>
        </w:rPr>
        <w:t>U</w:t>
      </w:r>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that </w:t>
      </w:r>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oximated in Eq</w:t>
      </w:r>
      <w:r>
        <w:rPr>
          <w:lang w:val="en-US"/>
        </w:rPr>
        <w:t>s</w:t>
      </w:r>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r>
        <w:rPr>
          <w:lang w:val="en-US"/>
        </w:rPr>
        <w:t xml:space="preserve">From Eqs.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This condition can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apprxomated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2AB6" w:rsidRDefault="000C2AB6">
      <w:pPr>
        <w:spacing w:line="240" w:lineRule="auto"/>
      </w:pPr>
      <w:r>
        <w:separator/>
      </w:r>
    </w:p>
  </w:endnote>
  <w:endnote w:type="continuationSeparator" w:id="0">
    <w:p w:rsidR="000C2AB6" w:rsidRDefault="000C2A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D40896BA-FAB4-4EA2-BDDE-AD4193CEF373}"/>
  </w:font>
  <w:font w:name="Times New Roman">
    <w:panose1 w:val="02020603050405020304"/>
    <w:charset w:val="00"/>
    <w:family w:val="roman"/>
    <w:pitch w:val="variable"/>
    <w:sig w:usb0="E0002AFF" w:usb1="C0007841" w:usb2="00000009" w:usb3="00000000" w:csb0="000001FF" w:csb1="00000000"/>
    <w:embedRegular r:id="rId2" w:fontKey="{64B16507-4F14-4023-A34F-DB696C85E846}"/>
    <w:embedBold r:id="rId3" w:fontKey="{F4463F99-652F-472E-A97A-4F224EB2927B}"/>
    <w:embedItalic r:id="rId4" w:fontKey="{341FFAD8-A00E-4319-A7D7-8F3F993E2B1D}"/>
  </w:font>
  <w:font w:name="cmr10">
    <w:panose1 w:val="020B0500000000000000"/>
    <w:charset w:val="00"/>
    <w:family w:val="swiss"/>
    <w:pitch w:val="variable"/>
    <w:sig w:usb0="00000003" w:usb1="00000000" w:usb2="00000000" w:usb3="00000000" w:csb0="00000001" w:csb1="00000000"/>
    <w:embedRegular r:id="rId5" w:fontKey="{CA3039DE-ED2C-4818-BD85-8FC52C304474}"/>
    <w:embedBold r:id="rId6" w:fontKey="{6BD0739B-7B20-45CD-A195-3E5C14B865FA}"/>
    <w:embedItalic r:id="rId7" w:fontKey="{E8F907EA-FBE1-4532-9D00-023DDDD57150}"/>
  </w:font>
  <w:font w:name="cmbx12">
    <w:panose1 w:val="020B0500000000000000"/>
    <w:charset w:val="00"/>
    <w:family w:val="swiss"/>
    <w:pitch w:val="variable"/>
    <w:sig w:usb0="00000003" w:usb1="00000000" w:usb2="00000000" w:usb3="00000000" w:csb0="00000001" w:csb1="00000000"/>
    <w:embedRegular r:id="rId8" w:fontKey="{0299320D-97A8-429C-B9AE-0321E5C6D492}"/>
  </w:font>
  <w:font w:name="Arial">
    <w:panose1 w:val="020B0604020202020204"/>
    <w:charset w:val="00"/>
    <w:family w:val="swiss"/>
    <w:pitch w:val="variable"/>
    <w:sig w:usb0="E0002AFF" w:usb1="C0007843" w:usb2="00000009" w:usb3="00000000" w:csb0="000001FF" w:csb1="00000000"/>
    <w:embedRegular r:id="rId9" w:fontKey="{227165B1-3953-4915-B4EE-65F78E250FF4}"/>
    <w:embedBold r:id="rId10" w:fontKey="{CECEAA5C-4705-4C3B-A202-2B83AAB859D9}"/>
    <w:embedItalic r:id="rId11" w:fontKey="{25A2ABB4-1781-4F50-9208-4C1682E27649}"/>
    <w:embedBoldItalic r:id="rId12" w:fontKey="{168502D4-00BE-4E06-9006-D7F7C0E323D0}"/>
  </w:font>
  <w:font w:name="cmbx10">
    <w:altName w:val="Vrinda"/>
    <w:charset w:val="00"/>
    <w:family w:val="swiss"/>
    <w:pitch w:val="variable"/>
    <w:sig w:usb0="00000003" w:usb1="00000000" w:usb2="00000000" w:usb3="00000000" w:csb0="00000001" w:csb1="00000000"/>
    <w:embedRegular r:id="rId13" w:fontKey="{425CC6D6-44AB-49CA-AFEB-7A5C1C89610A}"/>
  </w:font>
  <w:font w:name="Cambria">
    <w:panose1 w:val="02040503050406030204"/>
    <w:charset w:val="00"/>
    <w:family w:val="roman"/>
    <w:pitch w:val="variable"/>
    <w:sig w:usb0="E00002FF" w:usb1="400004FF" w:usb2="00000000" w:usb3="00000000" w:csb0="0000019F" w:csb1="00000000"/>
    <w:embedRegular r:id="rId14" w:fontKey="{A353A1E2-2274-4019-A3CF-C75A7B612499}"/>
    <w:embedBold r:id="rId15" w:fontKey="{7E5B0430-6BFB-486A-9AC5-F36F8054F360}"/>
  </w:font>
  <w:font w:name="cmti7">
    <w:altName w:val="Vrinda"/>
    <w:panose1 w:val="020B0500000000000000"/>
    <w:charset w:val="00"/>
    <w:family w:val="swiss"/>
    <w:pitch w:val="variable"/>
    <w:sig w:usb0="00000003" w:usb1="00000000" w:usb2="00000000" w:usb3="00000000" w:csb0="00000001" w:csb1="00000000"/>
    <w:embedBold r:id="rId16" w:fontKey="{9889E16D-D69B-4566-9CE2-965876050F77}"/>
  </w:font>
  <w:font w:name="Tahoma">
    <w:panose1 w:val="020B0604030504040204"/>
    <w:charset w:val="00"/>
    <w:family w:val="swiss"/>
    <w:pitch w:val="variable"/>
    <w:sig w:usb0="E1002EFF" w:usb1="C000605B" w:usb2="00000029" w:usb3="00000000" w:csb0="000101FF" w:csb1="00000000"/>
    <w:embedRegular r:id="rId17" w:fontKey="{353B46C2-CC90-4FF0-9D9A-72BB3F8CF05E}"/>
  </w:font>
  <w:font w:name="Consolas">
    <w:panose1 w:val="020B0609020204030204"/>
    <w:charset w:val="00"/>
    <w:family w:val="modern"/>
    <w:pitch w:val="fixed"/>
    <w:sig w:usb0="E10002FF" w:usb1="4000FCFF" w:usb2="00000009" w:usb3="00000000" w:csb0="0000019F" w:csb1="00000000"/>
    <w:embedRegular r:id="rId18" w:fontKey="{91309171-BDA6-46EC-BC73-3D4F89407B69}"/>
  </w:font>
  <w:font w:name="Calibri">
    <w:panose1 w:val="020F0502020204030204"/>
    <w:charset w:val="00"/>
    <w:family w:val="swiss"/>
    <w:pitch w:val="variable"/>
    <w:sig w:usb0="E00002FF" w:usb1="4000ACFF" w:usb2="00000001" w:usb3="00000000" w:csb0="0000019F" w:csb1="00000000"/>
    <w:embedRegular r:id="rId19" w:fontKey="{F2A1405F-DF2D-40B8-A845-EEC7D7CD6431}"/>
  </w:font>
  <w:font w:name="cmr17">
    <w:panose1 w:val="020B0500000000000000"/>
    <w:charset w:val="00"/>
    <w:family w:val="swiss"/>
    <w:pitch w:val="variable"/>
    <w:sig w:usb0="00000003" w:usb1="00000000" w:usb2="00000000" w:usb3="00000000" w:csb0="00000001" w:csb1="00000000"/>
    <w:embedRegular r:id="rId20" w:fontKey="{181D52B6-B762-4EFF-9F3E-95CFE947EA1D}"/>
    <w:embedBold r:id="rId21" w:fontKey="{9F743391-F155-4AB7-BAD4-2539A4399AAB}"/>
  </w:font>
  <w:font w:name="Cambria Math">
    <w:panose1 w:val="02040503050406030204"/>
    <w:charset w:val="00"/>
    <w:family w:val="roman"/>
    <w:pitch w:val="variable"/>
    <w:sig w:usb0="E00002FF" w:usb1="420024FF" w:usb2="00000000" w:usb3="00000000" w:csb0="0000019F" w:csb1="00000000"/>
    <w:embedRegular r:id="rId22" w:fontKey="{291552FD-ED6F-4AC9-9394-2C707C7923AA}"/>
    <w:embedItalic r:id="rId23" w:fontKey="{D868EE38-DDE2-43B8-8245-111BAB4FCD5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A730F">
      <w:rPr>
        <w:rStyle w:val="PageNumber"/>
        <w:noProof/>
      </w:rPr>
      <w:t>4</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2AB6" w:rsidRDefault="000C2AB6">
      <w:pPr>
        <w:spacing w:line="240" w:lineRule="auto"/>
      </w:pPr>
      <w:r>
        <w:separator/>
      </w:r>
    </w:p>
  </w:footnote>
  <w:footnote w:type="continuationSeparator" w:id="0">
    <w:p w:rsidR="000C2AB6" w:rsidRDefault="000C2AB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A5003"/>
    <w:rsid w:val="000C2AB6"/>
    <w:rsid w:val="000D0532"/>
    <w:rsid w:val="000F0565"/>
    <w:rsid w:val="000F177F"/>
    <w:rsid w:val="000F696F"/>
    <w:rsid w:val="00103172"/>
    <w:rsid w:val="00105953"/>
    <w:rsid w:val="00113AE4"/>
    <w:rsid w:val="00137A92"/>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31BBB"/>
    <w:rsid w:val="00555F3C"/>
    <w:rsid w:val="005579CA"/>
    <w:rsid w:val="0056552C"/>
    <w:rsid w:val="00593A0A"/>
    <w:rsid w:val="005F3FF6"/>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80402"/>
    <w:rsid w:val="00A8498D"/>
    <w:rsid w:val="00A94E1E"/>
    <w:rsid w:val="00AB1C75"/>
    <w:rsid w:val="00AC5B39"/>
    <w:rsid w:val="00AC64E4"/>
    <w:rsid w:val="00AD20B2"/>
    <w:rsid w:val="00AD6356"/>
    <w:rsid w:val="00AD779D"/>
    <w:rsid w:val="00AE4CC8"/>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A730F"/>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A4DBEA-767B-4466-B78D-A69CCB214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1196</TotalTime>
  <Pages>13</Pages>
  <Words>14001</Words>
  <Characters>70005</Characters>
  <Application>Microsoft Office Word</Application>
  <DocSecurity>0</DocSecurity>
  <Lines>583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23</cp:revision>
  <cp:lastPrinted>2013-04-23T11:40:00Z</cp:lastPrinted>
  <dcterms:created xsi:type="dcterms:W3CDTF">2013-06-09T18:13:00Z</dcterms:created>
  <dcterms:modified xsi:type="dcterms:W3CDTF">2013-06-11T07:14:00Z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